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A1" w:rsidRDefault="00020DA1" w:rsidP="00020DA1">
      <w:pPr>
        <w:rPr>
          <w:rFonts w:ascii="Baskerville Old Face" w:hAnsi="Baskerville Old Face"/>
          <w:b/>
          <w:sz w:val="28"/>
          <w:szCs w:val="28"/>
        </w:rPr>
      </w:pPr>
      <w:r w:rsidRPr="00ED779B">
        <w:rPr>
          <w:rFonts w:ascii="Baskerville Old Face" w:hAnsi="Baskerville Old Face"/>
          <w:b/>
          <w:noProof/>
          <w:sz w:val="28"/>
          <w:szCs w:val="28"/>
          <w:lang w:eastAsia="it-IT"/>
        </w:rPr>
        <w:drawing>
          <wp:inline distT="0" distB="0" distL="0" distR="0">
            <wp:extent cx="945969" cy="465909"/>
            <wp:effectExtent l="19050" t="0" r="6531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69" cy="46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         </w:t>
      </w:r>
      <w:r w:rsidRPr="00ED779B">
        <w:rPr>
          <w:rFonts w:ascii="Baskerville Old Face" w:hAnsi="Baskerville Old Face"/>
          <w:b/>
          <w:noProof/>
          <w:sz w:val="28"/>
          <w:szCs w:val="28"/>
          <w:lang w:eastAsia="it-IT"/>
        </w:rPr>
        <w:drawing>
          <wp:inline distT="0" distB="0" distL="0" distR="0">
            <wp:extent cx="1032510" cy="715659"/>
            <wp:effectExtent l="19050" t="0" r="0" b="0"/>
            <wp:docPr id="5" name="Immagine 1" descr="File:Commissione europea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mmissione europea.svg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82" cy="71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A1" w:rsidRDefault="00020DA1" w:rsidP="00020DA1">
      <w:pPr>
        <w:spacing w:after="100" w:afterAutospacing="1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it-IT"/>
        </w:rPr>
      </w:pPr>
    </w:p>
    <w:p w:rsidR="00020DA1" w:rsidRPr="00020DA1" w:rsidRDefault="00020DA1" w:rsidP="00020DA1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kern w:val="36"/>
          <w:sz w:val="24"/>
          <w:szCs w:val="24"/>
          <w:lang w:eastAsia="it-IT"/>
        </w:rPr>
        <w:t>Programma Erasmus+. Ecco tutte le scadenze del 2021</w:t>
      </w:r>
    </w:p>
    <w:p w:rsidR="00020DA1" w:rsidRPr="00020DA1" w:rsidRDefault="00020DA1" w:rsidP="00020D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sz w:val="24"/>
          <w:szCs w:val="24"/>
          <w:lang w:eastAsia="it-IT"/>
        </w:rPr>
        <w:t>30 Marzo 2021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sz w:val="24"/>
          <w:szCs w:val="24"/>
          <w:lang w:eastAsia="it-IT"/>
        </w:rPr>
        <w:t>La Commissione europea ha pubblicato l’avviso per la presentazione delle candidature per la partecipazione al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Programma Erasmus+ per il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. Si tratta del primo bando della nuova programmazione dai numeri importanti,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oltre 26 miliardi di euro 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(quasi il doppio dello scorso settennato) così ripartiti: Istruzione e formazione 2153,1 milioni, Gioventù 244,7 milioni, Sport 41,7 milioni e Jean Monnet 14 milioni. Oltre 24 miliardi sono disponibili nel capitolo di bilancio del MFF 2017-2021 e ulteriori 2,2 miliardi provengono dallo strumento di cooperazione NDICI – Neighbourhood, Development and Cooperation Instrument.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sz w:val="24"/>
          <w:szCs w:val="24"/>
          <w:lang w:eastAsia="it-IT"/>
        </w:rPr>
        <w:t>Il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30% del budget andrà a sostenere progetti e politiche di cooperazione e scambio di pratiche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, consentendo agli attori chiave di fare un uso migliore delle nuove tecnologie, sviluppare insegnamento, formazione e apprendimento di metodi innovativi.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sz w:val="24"/>
          <w:szCs w:val="24"/>
          <w:lang w:eastAsia="it-IT"/>
        </w:rPr>
        <w:t>Il nuovo Erasmus, che introduce anche la mobilità individuale degli studenti e dei discenti adulti, prevede come temi prioritari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l’inclusione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, la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trasformazione digitale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, la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transizione ecologica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, la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partecipazione alla vita democratica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Bando generale 2021 prevede il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 sostegno a progetti riguardanti:</w:t>
      </w:r>
    </w:p>
    <w:p w:rsidR="00020DA1" w:rsidRPr="00020DA1" w:rsidRDefault="00020DA1" w:rsidP="00020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Azione chiave 1 – Mobilità individuale ai fini dell’apprendimento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Mobilità individuale nei settori dell’istruzione, della formazione e della gioventù;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Attività di partecipazione dei giovani.</w:t>
      </w:r>
    </w:p>
    <w:p w:rsidR="00020DA1" w:rsidRPr="00020DA1" w:rsidRDefault="00020DA1" w:rsidP="00020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Azione chiave 2 – </w:t>
      </w:r>
      <w:r w:rsidRPr="002A6BBB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Cooperazione tra organizzazioni e istituzioni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Partenariati per la cooperazione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Partenariati per l’eccellenza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Partenariati per l’innovazione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Eventi sportivi senza scopo di lucro</w:t>
      </w:r>
    </w:p>
    <w:p w:rsidR="00020DA1" w:rsidRPr="00020DA1" w:rsidRDefault="00020DA1" w:rsidP="00020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Azione chiave 3 – Sostegno allo sviluppo delle politiche e alla cooperazione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Giovani europei uniti</w:t>
      </w:r>
    </w:p>
    <w:p w:rsidR="00020DA1" w:rsidRPr="00020DA1" w:rsidRDefault="00020DA1" w:rsidP="00020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Azioni Jean Monnet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Jean Monnet nel settore dell’istruzione superiore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Jean Monnet in altri ambiti dell’istruzione e della formazione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Enti eleggibili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br/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In generale, il bando è rivolto a </w:t>
      </w:r>
      <w:r w:rsidRPr="002A6BBB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qualsiasi organismo pubblico o privato attivo nei settori dell’istruzione, della formazione, della gioventù e dello sport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 xml:space="preserve">.  Tuttavia, per ogni singola azione sopra indicata sono ammissibili organismi ben specificati; per conoscere la corrispondenza tra azioni e soggetti ammissibili si rimanda alla “Guida al programma”. Inoltre, i gruppi di giovani attivi nell’animazione socio-educativa, non necessariamente nel contesto di un’organizzazione giovanile, possono presentare 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lastRenderedPageBreak/>
        <w:t>candidature per la mobilità ai fini dell’apprendimento dei giovani e degli animatori giovanili e per partenariati strategici nel settore della gioventù.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sz w:val="24"/>
          <w:szCs w:val="24"/>
          <w:lang w:eastAsia="it-IT"/>
        </w:rPr>
        <w:t>Per la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presentazione e valutazione delle proposte di progetto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 si prevede, a seconda dell’azione, una procedura decentrata o centralizzata. Le azioni di ERASMUS+ sono infatti distinte in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azioni decentralizzate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 e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azioni centralizzate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: le prime vengono gestite a livello nazionale dalle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Agenzie nazionali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 dei Paesi partecipanti al programma, le seconde, invece, vengono gestite a livello europeo dall’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Agenzia esecutiva EACEA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. La “Guida al programma” dettaglia per ogni azione la procedura a cui è soggetta.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Scadenze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Azione chiave 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Mobilità individuale nel settore dell`istruzione superiore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 11 maggio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Mobilità individuale nei settori dell’IFP, dell’istruzione scolastica e per adulti: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11 maggio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Accreditamenti Erasmus nell’IFP, nell’istruzione scolastica e per adulti: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19 ottobre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Mobilità individuale nel settore della gioventù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 11 maggio 2021; 5 ottobre 2021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Azione chiave 2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– 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Partenariati di cooperazione nei settori dell’istruzione, formazione e gioventù: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 maggio 2021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br/>
        <w:t>– 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Partenariati di cooperazione nel settore dello sport: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 maggio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Partenariati di cooperazione nel settore dello sport: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 maggio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Partenariati su piccola scala nei settori istruzione, formazione e gioventù: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 novembre 2021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br/>
        <w:t>– 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Partenariati su piccola scala nel settore dello sport: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 maggio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Centri di eccellenza professionale: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 settembre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Accademie degli insegnanti Erasmus: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 settembre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Azione Erasmus Mundus: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26 maggio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Alleanze per l’innovazione: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 settembre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Rafforzamento delle capacità nel settore della gioventù: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 luglio 2021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– Eventi sportivi senza scopo di lucro: 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 maggio 2021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Azione chiave 3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Giovani europei uniti: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24 giugno 2021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Azioni Jean Monnet</w:t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br/>
        <w:t>Per tutte le azioni: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2 giugno 2021</w:t>
      </w:r>
    </w:p>
    <w:p w:rsidR="00020DA1" w:rsidRPr="00020DA1" w:rsidRDefault="00020DA1" w:rsidP="00020D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Aree geografiche</w:t>
      </w:r>
      <w:r w:rsidRPr="00020D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br/>
      </w:r>
      <w:r w:rsidRPr="00020DA1">
        <w:rPr>
          <w:rFonts w:ascii="Arial" w:eastAsia="Times New Roman" w:hAnsi="Arial" w:cs="Arial"/>
          <w:sz w:val="24"/>
          <w:szCs w:val="24"/>
          <w:lang w:eastAsia="it-IT"/>
        </w:rPr>
        <w:t>UE 27 (post Brexit) – Austria, Belgio, Bulgaria, Cechia, Cipro, Croazia, Danimarca, Estonia, Finlandia, Francia, Germania, Grecia, Irlanda, Italia, Lettonia, Lituania, Lussemburgo, Malta, Olanda, Polonia, Portogallo, Romania, Slovacchia, Slovenia, Spagna, Svezia, Ungheria. Turchia, Serbia, PTOM, Macedonia del Nord, EFTA/SEE – Norvegia, Islanda e Liechtenstein. Paesi specifici/Regioni specifiche.</w:t>
      </w:r>
    </w:p>
    <w:p w:rsidR="006B7E45" w:rsidRDefault="006B7E45"/>
    <w:sectPr w:rsidR="006B7E45" w:rsidSect="006B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2C5"/>
    <w:multiLevelType w:val="multilevel"/>
    <w:tmpl w:val="691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0DA1"/>
    <w:rsid w:val="00020DA1"/>
    <w:rsid w:val="002A6BBB"/>
    <w:rsid w:val="006B7E45"/>
    <w:rsid w:val="0091346E"/>
    <w:rsid w:val="00EC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E45"/>
  </w:style>
  <w:style w:type="paragraph" w:styleId="Titolo1">
    <w:name w:val="heading 1"/>
    <w:basedOn w:val="Normale"/>
    <w:link w:val="Titolo1Carattere"/>
    <w:uiPriority w:val="9"/>
    <w:qFormat/>
    <w:rsid w:val="00020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0DA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ed-on">
    <w:name w:val="posted-on"/>
    <w:basedOn w:val="Carpredefinitoparagrafo"/>
    <w:rsid w:val="00020DA1"/>
  </w:style>
  <w:style w:type="paragraph" w:styleId="NormaleWeb">
    <w:name w:val="Normal (Web)"/>
    <w:basedOn w:val="Normale"/>
    <w:uiPriority w:val="99"/>
    <w:semiHidden/>
    <w:unhideWhenUsed/>
    <w:rsid w:val="0002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0D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2021-03-30T16:11:00Z</cp:lastPrinted>
  <dcterms:created xsi:type="dcterms:W3CDTF">2021-03-30T15:57:00Z</dcterms:created>
  <dcterms:modified xsi:type="dcterms:W3CDTF">2021-03-30T16:15:00Z</dcterms:modified>
</cp:coreProperties>
</file>